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48" w:rsidRDefault="00232848" w:rsidP="00153A24">
      <w:pPr>
        <w:ind w:left="3540" w:firstLine="708"/>
        <w:jc w:val="both"/>
        <w:rPr>
          <w:rFonts w:asciiTheme="minorHAnsi" w:hAnsiTheme="minorHAnsi" w:cs="Arial"/>
          <w:b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232848">
        <w:rPr>
          <w:rFonts w:asciiTheme="minorHAnsi" w:hAnsiTheme="minorHAnsi" w:cs="Arial"/>
          <w:b/>
        </w:rPr>
        <w:t>634</w:t>
      </w:r>
      <w:r w:rsidR="00A71155">
        <w:rPr>
          <w:rFonts w:asciiTheme="minorHAnsi" w:hAnsiTheme="minorHAnsi" w:cs="Arial"/>
          <w:b/>
        </w:rPr>
        <w:t>/2019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5D7997">
        <w:rPr>
          <w:rFonts w:asciiTheme="minorHAnsi" w:hAnsiTheme="minorHAnsi" w:cs="Arial"/>
          <w:b/>
          <w:sz w:val="22"/>
          <w:szCs w:val="22"/>
        </w:rPr>
        <w:t>7</w:t>
      </w:r>
      <w:r w:rsidR="00232848">
        <w:rPr>
          <w:rFonts w:asciiTheme="minorHAnsi" w:hAnsiTheme="minorHAnsi" w:cs="Arial"/>
          <w:b/>
          <w:sz w:val="22"/>
          <w:szCs w:val="22"/>
        </w:rPr>
        <w:t>43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232848">
        <w:rPr>
          <w:rFonts w:asciiTheme="minorHAnsi" w:hAnsiTheme="minorHAnsi" w:cs="Arial"/>
          <w:sz w:val="22"/>
          <w:szCs w:val="22"/>
        </w:rPr>
        <w:t>18</w:t>
      </w:r>
      <w:r w:rsidR="005D7997">
        <w:rPr>
          <w:rFonts w:asciiTheme="minorHAnsi" w:hAnsiTheme="minorHAnsi" w:cs="Arial"/>
          <w:sz w:val="22"/>
          <w:szCs w:val="22"/>
        </w:rPr>
        <w:t>/0</w:t>
      </w:r>
      <w:r w:rsidR="00232848">
        <w:rPr>
          <w:rFonts w:asciiTheme="minorHAnsi" w:hAnsiTheme="minorHAnsi" w:cs="Arial"/>
          <w:sz w:val="22"/>
          <w:szCs w:val="22"/>
        </w:rPr>
        <w:t>7</w:t>
      </w:r>
      <w:r w:rsidR="008E79E8">
        <w:rPr>
          <w:rFonts w:asciiTheme="minorHAnsi" w:hAnsiTheme="minorHAnsi" w:cs="Arial"/>
          <w:sz w:val="22"/>
          <w:szCs w:val="22"/>
        </w:rPr>
        <w:t>/201</w:t>
      </w:r>
      <w:r w:rsidR="00007851">
        <w:rPr>
          <w:rFonts w:asciiTheme="minorHAnsi" w:hAnsiTheme="minorHAnsi" w:cs="Arial"/>
          <w:sz w:val="22"/>
          <w:szCs w:val="22"/>
        </w:rPr>
        <w:t>9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>de Sr</w:t>
      </w:r>
      <w:r w:rsidR="005D7997">
        <w:rPr>
          <w:rFonts w:asciiTheme="minorHAnsi" w:hAnsiTheme="minorHAnsi" w:cs="Arial"/>
          <w:sz w:val="22"/>
          <w:szCs w:val="22"/>
        </w:rPr>
        <w:t xml:space="preserve">. </w:t>
      </w:r>
      <w:r w:rsidR="00232848">
        <w:rPr>
          <w:rFonts w:asciiTheme="minorHAnsi" w:hAnsiTheme="minorHAnsi" w:cs="Arial"/>
          <w:sz w:val="22"/>
          <w:szCs w:val="22"/>
        </w:rPr>
        <w:t>Ivan Duran Palma</w:t>
      </w:r>
      <w:r w:rsidR="004E731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232848">
        <w:rPr>
          <w:rFonts w:asciiTheme="minorHAnsi" w:hAnsiTheme="minorHAnsi" w:cs="Arial"/>
          <w:b/>
          <w:sz w:val="22"/>
          <w:szCs w:val="22"/>
        </w:rPr>
        <w:t>31 de jul</w:t>
      </w:r>
      <w:r w:rsidR="005D7997">
        <w:rPr>
          <w:rFonts w:asciiTheme="minorHAnsi" w:hAnsiTheme="minorHAnsi" w:cs="Arial"/>
          <w:b/>
          <w:sz w:val="22"/>
          <w:szCs w:val="22"/>
        </w:rPr>
        <w:t>io</w:t>
      </w:r>
      <w:r w:rsidR="00007851">
        <w:rPr>
          <w:rFonts w:asciiTheme="minorHAnsi" w:hAnsiTheme="minorHAnsi" w:cs="Arial"/>
          <w:b/>
          <w:sz w:val="22"/>
          <w:szCs w:val="22"/>
        </w:rPr>
        <w:t xml:space="preserve"> de 2019.</w:t>
      </w:r>
    </w:p>
    <w:p w:rsidR="00232848" w:rsidRDefault="0023284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32848" w:rsidRDefault="0023284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5D7997">
        <w:rPr>
          <w:rFonts w:asciiTheme="minorHAnsi" w:hAnsiTheme="minorHAnsi" w:cs="Arial"/>
          <w:sz w:val="22"/>
          <w:szCs w:val="22"/>
        </w:rPr>
        <w:t>E</w:t>
      </w:r>
      <w:r w:rsidR="005D7997" w:rsidRPr="00BC524E">
        <w:rPr>
          <w:rFonts w:asciiTheme="minorHAnsi" w:hAnsiTheme="minorHAnsi" w:cs="Arial"/>
          <w:sz w:val="22"/>
          <w:szCs w:val="22"/>
        </w:rPr>
        <w:t>l</w:t>
      </w:r>
      <w:r w:rsidR="005D7997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</w:p>
    <w:p w:rsidR="005D7997" w:rsidRDefault="005D7997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A64EC7" w:rsidRDefault="00A64EC7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64EC7" w:rsidRDefault="00A64EC7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20.285, Art. 21</w:t>
      </w:r>
      <w:r w:rsidR="00DC3EC5">
        <w:rPr>
          <w:rFonts w:asciiTheme="minorHAnsi" w:hAnsiTheme="minorHAnsi" w:cs="Arial"/>
          <w:sz w:val="22"/>
          <w:szCs w:val="22"/>
        </w:rPr>
        <w:t xml:space="preserve"> numeral 1, letra C y numeral</w:t>
      </w:r>
      <w:r>
        <w:rPr>
          <w:rFonts w:asciiTheme="minorHAnsi" w:hAnsiTheme="minorHAnsi" w:cs="Arial"/>
          <w:sz w:val="22"/>
          <w:szCs w:val="22"/>
        </w:rPr>
        <w:t xml:space="preserve"> 2.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Pr="006A7622" w:rsidRDefault="00CF401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FB3026" w:rsidRDefault="00FB3026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B3026" w:rsidRDefault="00FB3026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CF4012">
        <w:rPr>
          <w:rFonts w:asciiTheme="minorHAnsi" w:hAnsiTheme="minorHAnsi" w:cs="Arial"/>
          <w:sz w:val="22"/>
          <w:szCs w:val="22"/>
        </w:rPr>
        <w:t>26/06</w:t>
      </w:r>
      <w:r w:rsidR="00007851">
        <w:rPr>
          <w:rFonts w:asciiTheme="minorHAnsi" w:hAnsiTheme="minorHAnsi" w:cs="Arial"/>
          <w:sz w:val="22"/>
          <w:szCs w:val="22"/>
        </w:rPr>
        <w:t>/2019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0000</w:t>
      </w:r>
      <w:r w:rsidR="00CF4012">
        <w:rPr>
          <w:rFonts w:asciiTheme="minorHAnsi" w:hAnsiTheme="minorHAnsi" w:cs="Arial"/>
          <w:b/>
          <w:sz w:val="22"/>
          <w:szCs w:val="22"/>
        </w:rPr>
        <w:t>732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310071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232848" w:rsidRPr="00232848" w:rsidRDefault="00232848" w:rsidP="0023284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Estimados señores de Transparencia: Acogiéndome a lo que manda la Ley de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transparencia no. 20.285, les solicito por favor lo siguiente:</w:t>
      </w:r>
    </w:p>
    <w:p w:rsidR="00232848" w:rsidRPr="00232848" w:rsidRDefault="00232848" w:rsidP="0023284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1. Como se adquirió el dominio web www.municasablanca.cl y el estado de su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uso de este portal en las fechas 12/07/2019 y 19/07/2019. Esto con relación 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que en este dominio web, antes citado, se utilizó como portal que soportó el sitio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web de la municipalidad de Casablanca, cual mostraba toda la información de la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municipalidad como también sirvió como medio de trasferencia de datos de los</w:t>
      </w:r>
    </w:p>
    <w:p w:rsidR="00232848" w:rsidRPr="00232848" w:rsidRDefault="00232848" w:rsidP="0023284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correos electrónicos de carácter institucional.</w:t>
      </w:r>
    </w:p>
    <w:p w:rsidR="00232848" w:rsidRPr="00232848" w:rsidRDefault="00232848" w:rsidP="0023284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2. Datos de los servidores que alojaron este dominio web </w:t>
      </w:r>
      <w:hyperlink r:id="rId7" w:history="1">
        <w:r w:rsidRPr="00EC4B7C">
          <w:rPr>
            <w:rStyle w:val="Hipervnculo"/>
            <w:rFonts w:asciiTheme="minorHAnsi" w:eastAsiaTheme="minorHAnsi" w:hAnsiTheme="minorHAnsi" w:cs="LiberationSans-Regular"/>
            <w:b/>
            <w:i/>
            <w:sz w:val="22"/>
            <w:szCs w:val="22"/>
            <w:lang w:val="es-ES" w:eastAsia="en-US"/>
          </w:rPr>
          <w:t>www.municasablanca.cl</w:t>
        </w:r>
      </w:hyperlink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, donde se supone fueron pagados con dineros municipales ya que alojo el sitio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web de la municipalidad. Estos datos deben incluir las facturas de los servicios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por la compra del dominio web, pero también del servidor que alojo este dominio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web.</w:t>
      </w:r>
    </w:p>
    <w:p w:rsidR="00232848" w:rsidRPr="00232848" w:rsidRDefault="00232848" w:rsidP="0023284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3. Listado de todos los correos electrónicos institucionales que la municipalidad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 Casablanca creo y uso, bajo el dominio web antes citados.</w:t>
      </w:r>
    </w:p>
    <w:p w:rsidR="005D7997" w:rsidRPr="00232848" w:rsidRDefault="00232848" w:rsidP="0023284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4. Toda la Documentación de la municipalidad de Casablanca que fue recibida y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enviada por medio del correo electrónico </w:t>
      </w:r>
      <w:hyperlink r:id="rId8" w:history="1">
        <w:r w:rsidRPr="00232848">
          <w:rPr>
            <w:rStyle w:val="Hipervnculo"/>
            <w:rFonts w:asciiTheme="minorHAnsi" w:eastAsiaTheme="minorHAnsi" w:hAnsiTheme="minorHAnsi" w:cs="LiberationSans-Regular"/>
            <w:b/>
            <w:i/>
            <w:sz w:val="22"/>
            <w:szCs w:val="22"/>
            <w:lang w:val="es-ES" w:eastAsia="en-US"/>
          </w:rPr>
          <w:t>ofpartes@municasablanca.cl</w:t>
        </w:r>
      </w:hyperlink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232848" w:rsidRPr="00232848" w:rsidRDefault="00232848" w:rsidP="0023284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232848" w:rsidRDefault="0023284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232848" w:rsidRPr="00BC524E" w:rsidRDefault="0023284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C3EC5" w:rsidRPr="008C79D6" w:rsidRDefault="00DC3EC5" w:rsidP="00DC3EC5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órgano requerido, particularmente…. C) tratándose de requ</w:t>
      </w:r>
      <w:r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>, referidos a un elevado número de actos administrativos o sus antecedentes o cuya atención requiera distraer indebidamente a los funcionarios del cumplimiento regular de sus labores habituales”</w:t>
      </w: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5.-</w:t>
      </w:r>
      <w:r w:rsidR="008C79D6" w:rsidRPr="008C79D6">
        <w:rPr>
          <w:rFonts w:asciiTheme="minorHAnsi" w:hAnsiTheme="minorHAnsi" w:cs="Arial"/>
          <w:sz w:val="22"/>
          <w:szCs w:val="22"/>
        </w:rPr>
        <w:t>Que dentro de las referidas excepciones y en v</w:t>
      </w:r>
      <w:r w:rsidR="00247544">
        <w:rPr>
          <w:rFonts w:asciiTheme="minorHAnsi" w:hAnsiTheme="minorHAnsi" w:cs="Arial"/>
          <w:sz w:val="22"/>
          <w:szCs w:val="22"/>
        </w:rPr>
        <w:t xml:space="preserve">irtud del artículo 21, numeral 2 </w:t>
      </w:r>
      <w:r w:rsidR="008C79D6" w:rsidRPr="008C79D6">
        <w:rPr>
          <w:rFonts w:asciiTheme="minorHAnsi" w:hAnsiTheme="minorHAnsi" w:cs="Arial"/>
          <w:sz w:val="22"/>
          <w:szCs w:val="22"/>
        </w:rPr>
        <w:t xml:space="preserve">de la Ley de Transparencia, se podrá denegar el acceso a la información, “cuando su publicidad, comunicación o conocimiento afecte </w:t>
      </w:r>
      <w:r w:rsidR="00247544">
        <w:rPr>
          <w:rFonts w:asciiTheme="minorHAnsi" w:hAnsiTheme="minorHAnsi" w:cs="Arial"/>
          <w:sz w:val="22"/>
          <w:szCs w:val="22"/>
        </w:rPr>
        <w:t>los derechos de las personas tratándose de su seguridad, su salud, la esfera de la vida privada o derechos de carácter comercial o económico</w:t>
      </w:r>
      <w:r w:rsidR="008C79D6" w:rsidRPr="008C79D6">
        <w:rPr>
          <w:rFonts w:asciiTheme="minorHAnsi" w:hAnsiTheme="minorHAnsi" w:cs="Arial"/>
          <w:sz w:val="22"/>
          <w:szCs w:val="22"/>
        </w:rPr>
        <w:t>”</w:t>
      </w:r>
      <w:r w:rsidR="00247544">
        <w:rPr>
          <w:rFonts w:asciiTheme="minorHAnsi" w:hAnsiTheme="minorHAnsi" w:cs="Arial"/>
          <w:sz w:val="22"/>
          <w:szCs w:val="22"/>
        </w:rPr>
        <w:t>.</w:t>
      </w: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Que el artículo 4º de la Ley 19.628 sobre “el tratamiento de los datos personales sólo puede afectarse cuando esta ley u otras disposiciones legales lo autoricen o el titular consienta expresamente en ello”</w:t>
      </w:r>
    </w:p>
    <w:p w:rsidR="00FB3026" w:rsidRDefault="00FB3026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232848" w:rsidRDefault="0023284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247544">
        <w:rPr>
          <w:rFonts w:asciiTheme="minorHAnsi" w:hAnsiTheme="minorHAnsi" w:cs="Arial"/>
          <w:b/>
          <w:sz w:val="22"/>
          <w:szCs w:val="22"/>
        </w:rPr>
        <w:t xml:space="preserve">e infórmese según </w:t>
      </w:r>
      <w:r w:rsidR="00D26095">
        <w:rPr>
          <w:rFonts w:asciiTheme="minorHAnsi" w:hAnsiTheme="minorHAnsi" w:cs="Arial"/>
          <w:b/>
          <w:sz w:val="22"/>
          <w:szCs w:val="22"/>
        </w:rPr>
        <w:t>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BB716B" w:rsidRDefault="00BB716B" w:rsidP="00BB716B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B716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la petición enunciada entre los puntos 1 y 3, se adjunta Memorando Nº 304/2019 de la SECPLA.</w:t>
      </w:r>
    </w:p>
    <w:p w:rsidR="00F52733" w:rsidRDefault="00BB716B" w:rsidP="00BB716B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030B13" w:rsidRPr="00DC3EC5" w:rsidRDefault="00E711D5" w:rsidP="00310071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específico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sobre </w:t>
      </w:r>
      <w:r w:rsidR="00BB716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punto 4 de su petición “</w:t>
      </w:r>
      <w:r w:rsidR="00BB716B" w:rsidRPr="00BB716B"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  <w:t xml:space="preserve">Toda la Documentación de la municipalidad de Casablanca que fue recibida y enviada por medio del correo electrónico </w:t>
      </w:r>
      <w:hyperlink r:id="rId9" w:history="1">
        <w:r w:rsidR="00BB716B" w:rsidRPr="00BB716B">
          <w:rPr>
            <w:rStyle w:val="Hipervnculo"/>
            <w:rFonts w:asciiTheme="minorHAnsi" w:eastAsia="Calibri" w:hAnsiTheme="minorHAnsi" w:cs="Arial"/>
            <w:i/>
            <w:sz w:val="22"/>
            <w:szCs w:val="22"/>
            <w:lang w:eastAsia="en-US"/>
          </w:rPr>
          <w:t>ofpartes@municasablanca.cl</w:t>
        </w:r>
      </w:hyperlink>
      <w:r w:rsidR="00BB716B" w:rsidRPr="00BB716B"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  <w:t>”</w:t>
      </w:r>
      <w:r w:rsidR="00BB716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F401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tratándose de </w:t>
      </w:r>
      <w:r w:rsidR="00BB716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correos que contienen datos y solicitudes personales, </w:t>
      </w:r>
      <w:r w:rsidR="00CF401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y de información de la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 cuales no se cuenta con autorización </w:t>
      </w:r>
      <w:r w:rsidR="00DC3EC5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expresa del titular para su comunicación al público; que esta información no se encuentra disponible de manera tabulada o en formato de fácil acceso; y entendiendo que son un elevado número de </w:t>
      </w:r>
      <w:r w:rsidR="00E43DA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correos</w:t>
      </w:r>
      <w:r w:rsidR="00DC3EC5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por lo que generarla ocasiona la distracción indebida del funcionario a cargo de la </w:t>
      </w:r>
      <w:r w:rsid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Oficina de Organizaciones C</w:t>
      </w:r>
      <w:r w:rsidR="00DC3EC5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omunitarias para solicitar la autorización expresa a los integrantes de estas organizaciones,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aplica 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 la entrega de esta información los 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Art. 21 </w:t>
      </w:r>
      <w:r w:rsid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numeral 1, letra C y numeral 2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 Ley 20.285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Art. Nº 4 de la Ley 19.628.</w:t>
      </w:r>
    </w:p>
    <w:p w:rsidR="00FE1F12" w:rsidRPr="00030B13" w:rsidRDefault="00310071" w:rsidP="00030B13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030B1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CF4012">
        <w:rPr>
          <w:rFonts w:asciiTheme="minorHAnsi" w:hAnsiTheme="minorHAnsi" w:cs="Arial"/>
          <w:sz w:val="22"/>
          <w:szCs w:val="22"/>
        </w:rPr>
        <w:t xml:space="preserve">don </w:t>
      </w:r>
      <w:r w:rsidR="00232848">
        <w:rPr>
          <w:rFonts w:asciiTheme="minorHAnsi" w:hAnsiTheme="minorHAnsi" w:cs="Arial"/>
          <w:sz w:val="22"/>
          <w:szCs w:val="22"/>
        </w:rPr>
        <w:t>Ivan Duran Palma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CF4012">
        <w:rPr>
          <w:rFonts w:asciiTheme="minorHAnsi" w:hAnsiTheme="minorHAnsi" w:cs="Arial"/>
          <w:sz w:val="22"/>
          <w:szCs w:val="22"/>
        </w:rPr>
        <w:t xml:space="preserve">don </w:t>
      </w:r>
      <w:r w:rsidR="00232848">
        <w:rPr>
          <w:rFonts w:asciiTheme="minorHAnsi" w:hAnsiTheme="minorHAnsi" w:cs="Arial"/>
          <w:sz w:val="22"/>
          <w:szCs w:val="22"/>
        </w:rPr>
        <w:t>Ivan Duran Palma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232848" w:rsidRDefault="0023284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232848" w:rsidRDefault="0023284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232848" w:rsidRDefault="0023284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232848" w:rsidRDefault="0023284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232848" w:rsidRDefault="0023284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232848" w:rsidRDefault="0023284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232848" w:rsidRDefault="0023284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232848" w:rsidRPr="00BC524E" w:rsidRDefault="0023284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FB3026" w:rsidRDefault="00FB3026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232848" w:rsidRDefault="00232848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232848" w:rsidRDefault="00232848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232848" w:rsidRDefault="00232848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232848" w:rsidRDefault="00232848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E711D5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F52733">
        <w:rPr>
          <w:rFonts w:asciiTheme="minorHAnsi" w:hAnsiTheme="minorHAnsi" w:cs="Arial"/>
          <w:b/>
          <w:sz w:val="22"/>
          <w:szCs w:val="22"/>
        </w:rPr>
        <w:t xml:space="preserve">sa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A64EC7" w:rsidRDefault="00A64EC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FB3026" w:rsidRDefault="00FB3026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F4012">
        <w:rPr>
          <w:rFonts w:asciiTheme="minorHAnsi" w:hAnsiTheme="minorHAnsi" w:cs="Arial"/>
          <w:sz w:val="22"/>
          <w:szCs w:val="22"/>
          <w:lang w:val="es-CL"/>
        </w:rPr>
        <w:t xml:space="preserve">Sr. </w:t>
      </w:r>
      <w:r w:rsidR="00232848">
        <w:rPr>
          <w:rFonts w:asciiTheme="minorHAnsi" w:hAnsiTheme="minorHAnsi" w:cs="Arial"/>
          <w:sz w:val="22"/>
          <w:szCs w:val="22"/>
        </w:rPr>
        <w:t>Ivan Duran Palma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FF54B7" w:rsidRDefault="00FF54B7" w:rsidP="00FF54B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Pr="00BC524E">
        <w:rPr>
          <w:rFonts w:asciiTheme="minorHAnsi" w:hAnsiTheme="minorHAnsi" w:cs="Arial"/>
          <w:sz w:val="22"/>
          <w:szCs w:val="22"/>
        </w:rPr>
        <w:t>Archivo</w:t>
      </w:r>
      <w:r>
        <w:rPr>
          <w:rFonts w:asciiTheme="minorHAnsi" w:hAnsiTheme="minorHAnsi" w:cs="Arial"/>
          <w:sz w:val="22"/>
          <w:szCs w:val="22"/>
        </w:rPr>
        <w:t xml:space="preserve"> Oficina de Partes</w:t>
      </w:r>
      <w:r w:rsidRPr="00BC524E">
        <w:rPr>
          <w:rFonts w:asciiTheme="minorHAnsi" w:hAnsiTheme="minorHAnsi" w:cs="Arial"/>
          <w:sz w:val="22"/>
          <w:szCs w:val="22"/>
        </w:rPr>
        <w:t>.</w:t>
      </w:r>
    </w:p>
    <w:p w:rsidR="00FF54B7" w:rsidRPr="00BC524E" w:rsidRDefault="00FF54B7" w:rsidP="00FF54B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153A24" w:rsidRDefault="00EC684E" w:rsidP="00EC684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FF54B7">
        <w:rPr>
          <w:rFonts w:asciiTheme="minorHAnsi" w:hAnsiTheme="minorHAnsi"/>
          <w:sz w:val="22"/>
          <w:szCs w:val="22"/>
        </w:rPr>
        <w:t>/LPA/lpa</w:t>
      </w:r>
    </w:p>
    <w:p w:rsidR="00FB3026" w:rsidRPr="00FB3026" w:rsidRDefault="00FB3026" w:rsidP="00EC684E">
      <w:pPr>
        <w:rPr>
          <w:rFonts w:asciiTheme="minorHAnsi" w:hAnsiTheme="minorHAnsi"/>
          <w:b/>
          <w:sz w:val="22"/>
          <w:szCs w:val="22"/>
        </w:rPr>
      </w:pPr>
      <w:r w:rsidRPr="00FB3026">
        <w:rPr>
          <w:rFonts w:asciiTheme="minorHAnsi" w:hAnsiTheme="minorHAnsi"/>
          <w:b/>
          <w:sz w:val="22"/>
          <w:szCs w:val="22"/>
        </w:rPr>
        <w:t xml:space="preserve">Oficio Nº </w:t>
      </w:r>
      <w:r w:rsidR="00232848">
        <w:rPr>
          <w:rFonts w:asciiTheme="minorHAnsi" w:hAnsiTheme="minorHAnsi"/>
          <w:b/>
          <w:sz w:val="22"/>
          <w:szCs w:val="22"/>
        </w:rPr>
        <w:t>634</w:t>
      </w:r>
      <w:r w:rsidRPr="00FB3026">
        <w:rPr>
          <w:rFonts w:asciiTheme="minorHAnsi" w:hAnsiTheme="minorHAnsi"/>
          <w:b/>
          <w:sz w:val="22"/>
          <w:szCs w:val="22"/>
        </w:rPr>
        <w:t>/2019</w:t>
      </w:r>
    </w:p>
    <w:sectPr w:rsidR="00FB3026" w:rsidRPr="00FB3026" w:rsidSect="001C7F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22" w:code="258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691" w:rsidRDefault="00DB2691" w:rsidP="00566808">
      <w:r>
        <w:separator/>
      </w:r>
    </w:p>
  </w:endnote>
  <w:endnote w:type="continuationSeparator" w:id="1">
    <w:p w:rsidR="00DB2691" w:rsidRDefault="00DB2691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0A" w:rsidRDefault="00FC4A0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DC4294" w:rsidP="00566808">
    <w:pPr>
      <w:pStyle w:val="Piedepgina"/>
      <w:ind w:left="-142"/>
      <w:jc w:val="right"/>
      <w:rPr>
        <w:sz w:val="18"/>
        <w:szCs w:val="18"/>
      </w:rPr>
    </w:pPr>
    <w:r w:rsidRPr="00DC4294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D83577" w:rsidRDefault="00566808" w:rsidP="00D83577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D83577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D83577">
      <w:rPr>
        <w:rFonts w:asciiTheme="minorHAnsi" w:hAnsiTheme="minorHAnsi"/>
        <w:sz w:val="18"/>
        <w:szCs w:val="18"/>
      </w:rPr>
      <w:t>cipalidad</w:t>
    </w:r>
    <w:r w:rsidRPr="00D83577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0A" w:rsidRDefault="00FC4A0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691" w:rsidRDefault="00DB2691" w:rsidP="00566808">
      <w:r>
        <w:separator/>
      </w:r>
    </w:p>
  </w:footnote>
  <w:footnote w:type="continuationSeparator" w:id="1">
    <w:p w:rsidR="00DB2691" w:rsidRDefault="00DB2691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0A" w:rsidRDefault="00FC4A0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FC4A0A">
    <w:pPr>
      <w:pStyle w:val="Encabezado"/>
      <w:rPr>
        <w:lang w:val="es-ES"/>
      </w:rPr>
    </w:pPr>
    <w:r w:rsidRPr="00FC4A0A">
      <w:rPr>
        <w:lang w:val="es-ES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0A" w:rsidRDefault="00FC4A0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54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7851"/>
    <w:rsid w:val="00013C43"/>
    <w:rsid w:val="00030B13"/>
    <w:rsid w:val="00031968"/>
    <w:rsid w:val="0003207C"/>
    <w:rsid w:val="0004206D"/>
    <w:rsid w:val="00046622"/>
    <w:rsid w:val="000608C2"/>
    <w:rsid w:val="0006093A"/>
    <w:rsid w:val="00077AA8"/>
    <w:rsid w:val="00090D8E"/>
    <w:rsid w:val="00096AEF"/>
    <w:rsid w:val="000A79D2"/>
    <w:rsid w:val="000B3C40"/>
    <w:rsid w:val="000B7F62"/>
    <w:rsid w:val="000C4E34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1A9F"/>
    <w:rsid w:val="00117DBB"/>
    <w:rsid w:val="00123EAC"/>
    <w:rsid w:val="00151FF3"/>
    <w:rsid w:val="00153A24"/>
    <w:rsid w:val="00156E9F"/>
    <w:rsid w:val="00174596"/>
    <w:rsid w:val="00177C0C"/>
    <w:rsid w:val="001837DC"/>
    <w:rsid w:val="001A2935"/>
    <w:rsid w:val="001B0223"/>
    <w:rsid w:val="001C7FE0"/>
    <w:rsid w:val="001D0BC6"/>
    <w:rsid w:val="001D236E"/>
    <w:rsid w:val="001D31F0"/>
    <w:rsid w:val="001E34FF"/>
    <w:rsid w:val="001E6A9C"/>
    <w:rsid w:val="00203195"/>
    <w:rsid w:val="00232848"/>
    <w:rsid w:val="00244183"/>
    <w:rsid w:val="00245DED"/>
    <w:rsid w:val="00247544"/>
    <w:rsid w:val="00266FF6"/>
    <w:rsid w:val="0027270C"/>
    <w:rsid w:val="00284147"/>
    <w:rsid w:val="00287CF3"/>
    <w:rsid w:val="00293674"/>
    <w:rsid w:val="002966AE"/>
    <w:rsid w:val="002A4F63"/>
    <w:rsid w:val="002C3330"/>
    <w:rsid w:val="003021B2"/>
    <w:rsid w:val="00305551"/>
    <w:rsid w:val="00310071"/>
    <w:rsid w:val="003315DB"/>
    <w:rsid w:val="003406B3"/>
    <w:rsid w:val="003440AE"/>
    <w:rsid w:val="00347E5D"/>
    <w:rsid w:val="00354036"/>
    <w:rsid w:val="00383FBE"/>
    <w:rsid w:val="0039233E"/>
    <w:rsid w:val="003C3316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E7312"/>
    <w:rsid w:val="004F7659"/>
    <w:rsid w:val="00511DDC"/>
    <w:rsid w:val="005128B1"/>
    <w:rsid w:val="00515EFC"/>
    <w:rsid w:val="00530EDE"/>
    <w:rsid w:val="00542421"/>
    <w:rsid w:val="005438B8"/>
    <w:rsid w:val="00551A67"/>
    <w:rsid w:val="00551CE6"/>
    <w:rsid w:val="00562C46"/>
    <w:rsid w:val="00564289"/>
    <w:rsid w:val="00565A12"/>
    <w:rsid w:val="00566808"/>
    <w:rsid w:val="005A5BFC"/>
    <w:rsid w:val="005B7C5C"/>
    <w:rsid w:val="005D7997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7622"/>
    <w:rsid w:val="006C70F3"/>
    <w:rsid w:val="006E221C"/>
    <w:rsid w:val="006E417E"/>
    <w:rsid w:val="006E41F2"/>
    <w:rsid w:val="006E6644"/>
    <w:rsid w:val="006E6BC2"/>
    <w:rsid w:val="00713F09"/>
    <w:rsid w:val="0072066D"/>
    <w:rsid w:val="00724133"/>
    <w:rsid w:val="007267C4"/>
    <w:rsid w:val="00734E76"/>
    <w:rsid w:val="007400C7"/>
    <w:rsid w:val="00754878"/>
    <w:rsid w:val="007571F5"/>
    <w:rsid w:val="00783ADA"/>
    <w:rsid w:val="007854BD"/>
    <w:rsid w:val="00786E91"/>
    <w:rsid w:val="007C1F4C"/>
    <w:rsid w:val="007C45B0"/>
    <w:rsid w:val="007D0FC1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A413B"/>
    <w:rsid w:val="008A5905"/>
    <w:rsid w:val="008C55E6"/>
    <w:rsid w:val="008C79D6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40E77"/>
    <w:rsid w:val="00951EE1"/>
    <w:rsid w:val="00971C17"/>
    <w:rsid w:val="00974FD6"/>
    <w:rsid w:val="0098014B"/>
    <w:rsid w:val="00986B26"/>
    <w:rsid w:val="00993ED2"/>
    <w:rsid w:val="009A5A9C"/>
    <w:rsid w:val="009A774F"/>
    <w:rsid w:val="009C15C5"/>
    <w:rsid w:val="009D3DC3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51E22"/>
    <w:rsid w:val="00A64EC7"/>
    <w:rsid w:val="00A71155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A7C88"/>
    <w:rsid w:val="00BB43BE"/>
    <w:rsid w:val="00BB716B"/>
    <w:rsid w:val="00BC4D24"/>
    <w:rsid w:val="00BC524E"/>
    <w:rsid w:val="00C134E4"/>
    <w:rsid w:val="00C325C4"/>
    <w:rsid w:val="00C3602F"/>
    <w:rsid w:val="00C4647D"/>
    <w:rsid w:val="00C543C2"/>
    <w:rsid w:val="00C62403"/>
    <w:rsid w:val="00C635A4"/>
    <w:rsid w:val="00C73EDE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CF4012"/>
    <w:rsid w:val="00D01EF4"/>
    <w:rsid w:val="00D156F7"/>
    <w:rsid w:val="00D15D38"/>
    <w:rsid w:val="00D24797"/>
    <w:rsid w:val="00D26095"/>
    <w:rsid w:val="00D32E46"/>
    <w:rsid w:val="00D36C7D"/>
    <w:rsid w:val="00D4456C"/>
    <w:rsid w:val="00D567A4"/>
    <w:rsid w:val="00D83577"/>
    <w:rsid w:val="00D9414D"/>
    <w:rsid w:val="00DB2691"/>
    <w:rsid w:val="00DC3EC5"/>
    <w:rsid w:val="00DC4294"/>
    <w:rsid w:val="00DC6759"/>
    <w:rsid w:val="00DF48D4"/>
    <w:rsid w:val="00E03BD7"/>
    <w:rsid w:val="00E165B0"/>
    <w:rsid w:val="00E23DD6"/>
    <w:rsid w:val="00E3658D"/>
    <w:rsid w:val="00E43DAE"/>
    <w:rsid w:val="00E52826"/>
    <w:rsid w:val="00E53ED4"/>
    <w:rsid w:val="00E711D5"/>
    <w:rsid w:val="00E832C7"/>
    <w:rsid w:val="00EB1F5C"/>
    <w:rsid w:val="00EB7D70"/>
    <w:rsid w:val="00EC2B1F"/>
    <w:rsid w:val="00EC684E"/>
    <w:rsid w:val="00EC7307"/>
    <w:rsid w:val="00EE0C0B"/>
    <w:rsid w:val="00F028AB"/>
    <w:rsid w:val="00F337CC"/>
    <w:rsid w:val="00F3734C"/>
    <w:rsid w:val="00F477D8"/>
    <w:rsid w:val="00F52733"/>
    <w:rsid w:val="00F76437"/>
    <w:rsid w:val="00F816F9"/>
    <w:rsid w:val="00FB154C"/>
    <w:rsid w:val="00FB3026"/>
    <w:rsid w:val="00FB64D9"/>
    <w:rsid w:val="00FC4A0A"/>
    <w:rsid w:val="00FC5389"/>
    <w:rsid w:val="00FE1F12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partes@municasablanca.c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unicasablanca.c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partes@municasablanca.c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986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8</cp:revision>
  <cp:lastPrinted>2019-07-31T15:12:00Z</cp:lastPrinted>
  <dcterms:created xsi:type="dcterms:W3CDTF">2019-07-29T20:00:00Z</dcterms:created>
  <dcterms:modified xsi:type="dcterms:W3CDTF">2019-10-16T13:52:00Z</dcterms:modified>
</cp:coreProperties>
</file>